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E2D5C" w14:textId="77777777" w:rsidR="008D1D41" w:rsidRPr="008D1D41" w:rsidRDefault="008D1D41" w:rsidP="008D1D41">
      <w:pPr>
        <w:numPr>
          <w:ilvl w:val="0"/>
          <w:numId w:val="1"/>
        </w:numPr>
        <w:shd w:val="clear" w:color="auto" w:fill="FFFFFF"/>
        <w:spacing w:after="0" w:line="240" w:lineRule="auto"/>
        <w:outlineLvl w:val="2"/>
        <w:rPr>
          <w:rFonts w:ascii="Helvetica" w:eastAsia="Times New Roman" w:hAnsi="Helvetica" w:cs="Helvetica"/>
          <w:b/>
          <w:bCs/>
          <w:color w:val="6A5638"/>
          <w:sz w:val="27"/>
          <w:szCs w:val="27"/>
        </w:rPr>
      </w:pPr>
      <w:r w:rsidRPr="008D1D41">
        <w:rPr>
          <w:rFonts w:ascii="Helvetica" w:eastAsia="Times New Roman" w:hAnsi="Helvetica" w:cs="Helvetica"/>
          <w:b/>
          <w:bCs/>
          <w:color w:val="6A5638"/>
          <w:sz w:val="27"/>
          <w:szCs w:val="27"/>
        </w:rPr>
        <w:fldChar w:fldCharType="begin"/>
      </w:r>
      <w:r w:rsidRPr="008D1D41">
        <w:rPr>
          <w:rFonts w:ascii="Helvetica" w:eastAsia="Times New Roman" w:hAnsi="Helvetica" w:cs="Helvetica"/>
          <w:b/>
          <w:bCs/>
          <w:color w:val="6A5638"/>
          <w:sz w:val="27"/>
          <w:szCs w:val="27"/>
        </w:rPr>
        <w:instrText xml:space="preserve"> HYPERLINK "https://www.tjctc.org/coronavirus.html" </w:instrText>
      </w:r>
      <w:r w:rsidRPr="008D1D41">
        <w:rPr>
          <w:rFonts w:ascii="Helvetica" w:eastAsia="Times New Roman" w:hAnsi="Helvetica" w:cs="Helvetica"/>
          <w:b/>
          <w:bCs/>
          <w:color w:val="6A5638"/>
          <w:sz w:val="27"/>
          <w:szCs w:val="27"/>
        </w:rPr>
        <w:fldChar w:fldCharType="separate"/>
      </w:r>
      <w:r w:rsidRPr="008D1D41">
        <w:rPr>
          <w:rFonts w:ascii="Helvetica" w:eastAsia="Times New Roman" w:hAnsi="Helvetica" w:cs="Helvetica"/>
          <w:b/>
          <w:bCs/>
          <w:color w:val="222222"/>
          <w:sz w:val="27"/>
          <w:szCs w:val="27"/>
          <w:u w:val="single"/>
        </w:rPr>
        <w:t xml:space="preserve"> Determining if a </w:t>
      </w:r>
      <w:proofErr w:type="gramStart"/>
      <w:r w:rsidRPr="008D1D41">
        <w:rPr>
          <w:rFonts w:ascii="Helvetica" w:eastAsia="Times New Roman" w:hAnsi="Helvetica" w:cs="Helvetica"/>
          <w:b/>
          <w:bCs/>
          <w:color w:val="222222"/>
          <w:sz w:val="27"/>
          <w:szCs w:val="27"/>
          <w:u w:val="single"/>
        </w:rPr>
        <w:t>Property</w:t>
      </w:r>
      <w:proofErr w:type="gramEnd"/>
      <w:r w:rsidRPr="008D1D41">
        <w:rPr>
          <w:rFonts w:ascii="Helvetica" w:eastAsia="Times New Roman" w:hAnsi="Helvetica" w:cs="Helvetica"/>
          <w:b/>
          <w:bCs/>
          <w:color w:val="222222"/>
          <w:sz w:val="27"/>
          <w:szCs w:val="27"/>
          <w:u w:val="single"/>
        </w:rPr>
        <w:t xml:space="preserve"> is a "Covered Dwelling" Under the CARES Act - Updated 2/14/21</w:t>
      </w:r>
      <w:r w:rsidRPr="008D1D41">
        <w:rPr>
          <w:rFonts w:ascii="Helvetica" w:eastAsia="Times New Roman" w:hAnsi="Helvetica" w:cs="Helvetica"/>
          <w:b/>
          <w:bCs/>
          <w:color w:val="6A5638"/>
          <w:sz w:val="27"/>
          <w:szCs w:val="27"/>
        </w:rPr>
        <w:fldChar w:fldCharType="end"/>
      </w:r>
    </w:p>
    <w:p w14:paraId="74EEC9FB" w14:textId="77777777" w:rsidR="008D1D41" w:rsidRPr="008D1D41" w:rsidRDefault="008D1D41" w:rsidP="008D1D41">
      <w:pPr>
        <w:shd w:val="clear" w:color="auto" w:fill="FFFFFF"/>
        <w:spacing w:after="168" w:line="240" w:lineRule="auto"/>
        <w:ind w:left="720"/>
        <w:rPr>
          <w:rFonts w:ascii="Helvetica" w:eastAsia="Times New Roman" w:hAnsi="Helvetica" w:cs="Helvetica"/>
          <w:color w:val="222222"/>
          <w:sz w:val="27"/>
          <w:szCs w:val="27"/>
        </w:rPr>
      </w:pPr>
      <w:r w:rsidRPr="008D1D41">
        <w:rPr>
          <w:rFonts w:ascii="Helvetica" w:eastAsia="Times New Roman" w:hAnsi="Helvetica" w:cs="Helvetica"/>
          <w:b/>
          <w:bCs/>
          <w:color w:val="222222"/>
          <w:sz w:val="27"/>
          <w:szCs w:val="27"/>
          <w:u w:val="single"/>
        </w:rPr>
        <w:t>What is a "Covered Dwelling"?</w:t>
      </w:r>
      <w:r w:rsidRPr="008D1D41">
        <w:rPr>
          <w:rFonts w:ascii="Helvetica" w:eastAsia="Times New Roman" w:hAnsi="Helvetica" w:cs="Helvetica"/>
          <w:color w:val="222222"/>
          <w:sz w:val="27"/>
          <w:szCs w:val="27"/>
        </w:rPr>
        <w:br/>
        <w:t xml:space="preserve">In short, the Act applies to all housing programs such as public housing, project-based section 8, Housing Choice Vouchers, LIHTC, </w:t>
      </w:r>
      <w:proofErr w:type="spellStart"/>
      <w:r w:rsidRPr="008D1D41">
        <w:rPr>
          <w:rFonts w:ascii="Helvetica" w:eastAsia="Times New Roman" w:hAnsi="Helvetica" w:cs="Helvetica"/>
          <w:color w:val="222222"/>
          <w:sz w:val="27"/>
          <w:szCs w:val="27"/>
        </w:rPr>
        <w:t>etc</w:t>
      </w:r>
      <w:proofErr w:type="spellEnd"/>
      <w:r w:rsidRPr="008D1D41">
        <w:rPr>
          <w:rFonts w:ascii="Helvetica" w:eastAsia="Times New Roman" w:hAnsi="Helvetica" w:cs="Helvetica"/>
          <w:color w:val="222222"/>
          <w:sz w:val="27"/>
          <w:szCs w:val="27"/>
        </w:rPr>
        <w:t xml:space="preserve">, as well as the rural voucher program and properties with </w:t>
      </w:r>
      <w:proofErr w:type="gramStart"/>
      <w:r w:rsidRPr="008D1D41">
        <w:rPr>
          <w:rFonts w:ascii="Helvetica" w:eastAsia="Times New Roman" w:hAnsi="Helvetica" w:cs="Helvetica"/>
          <w:color w:val="222222"/>
          <w:sz w:val="27"/>
          <w:szCs w:val="27"/>
        </w:rPr>
        <w:t>federally-backed</w:t>
      </w:r>
      <w:proofErr w:type="gramEnd"/>
      <w:r w:rsidRPr="008D1D41">
        <w:rPr>
          <w:rFonts w:ascii="Helvetica" w:eastAsia="Times New Roman" w:hAnsi="Helvetica" w:cs="Helvetica"/>
          <w:color w:val="222222"/>
          <w:sz w:val="27"/>
          <w:szCs w:val="27"/>
        </w:rPr>
        <w:t xml:space="preserve"> mortgages (HUD, Fannie Mae, Freddie Mac; more detailed definitions are in the Act). </w:t>
      </w:r>
    </w:p>
    <w:p w14:paraId="07C79ECC" w14:textId="77777777" w:rsidR="008D1D41" w:rsidRPr="008D1D41" w:rsidRDefault="008D1D41" w:rsidP="008D1D41">
      <w:pPr>
        <w:shd w:val="clear" w:color="auto" w:fill="FFFFFF"/>
        <w:spacing w:after="168" w:line="240" w:lineRule="auto"/>
        <w:ind w:left="720"/>
        <w:rPr>
          <w:rFonts w:ascii="Helvetica" w:eastAsia="Times New Roman" w:hAnsi="Helvetica" w:cs="Helvetica"/>
          <w:color w:val="222222"/>
          <w:sz w:val="27"/>
          <w:szCs w:val="27"/>
        </w:rPr>
      </w:pPr>
      <w:r w:rsidRPr="008D1D41">
        <w:rPr>
          <w:rFonts w:ascii="Helvetica" w:eastAsia="Times New Roman" w:hAnsi="Helvetica" w:cs="Helvetica"/>
          <w:color w:val="222222"/>
          <w:sz w:val="27"/>
          <w:szCs w:val="27"/>
        </w:rPr>
        <w:t>If a property has some tenants to which these programs apply, the CARES Act will likely cover all tenants at that property, according to its plain language. This interpretation is not universally accepted, with many advocates taking this position, while HUD says that a "market rate property" that accepts vouchers is only covered for the tenants using the vouchers.</w:t>
      </w:r>
    </w:p>
    <w:p w14:paraId="10239EDA" w14:textId="77777777" w:rsidR="008D1D41" w:rsidRPr="008D1D41" w:rsidRDefault="008D1D41" w:rsidP="008D1D41">
      <w:pPr>
        <w:shd w:val="clear" w:color="auto" w:fill="FFFFFF"/>
        <w:spacing w:after="168" w:line="240" w:lineRule="auto"/>
        <w:ind w:left="720"/>
        <w:rPr>
          <w:rFonts w:ascii="Helvetica" w:eastAsia="Times New Roman" w:hAnsi="Helvetica" w:cs="Helvetica"/>
          <w:color w:val="222222"/>
          <w:sz w:val="27"/>
          <w:szCs w:val="27"/>
        </w:rPr>
      </w:pPr>
      <w:r w:rsidRPr="008D1D41">
        <w:rPr>
          <w:rFonts w:ascii="Helvetica" w:eastAsia="Times New Roman" w:hAnsi="Helvetica" w:cs="Helvetica"/>
          <w:b/>
          <w:bCs/>
          <w:color w:val="222222"/>
          <w:sz w:val="27"/>
          <w:szCs w:val="27"/>
          <w:u w:val="single"/>
        </w:rPr>
        <w:t>Effects of the CARES Act</w:t>
      </w:r>
      <w:r w:rsidRPr="008D1D41">
        <w:rPr>
          <w:rFonts w:ascii="Helvetica" w:eastAsia="Times New Roman" w:hAnsi="Helvetica" w:cs="Helvetica"/>
          <w:color w:val="222222"/>
          <w:sz w:val="27"/>
          <w:szCs w:val="27"/>
        </w:rPr>
        <w:br/>
        <w:t>While most of the provisions have expired, the provision requiring a 30-day notice to vacate has not expired. This provision requires a 30-day notice to vacate if the property is a covered dwelling </w:t>
      </w:r>
      <w:r w:rsidRPr="008D1D41">
        <w:rPr>
          <w:rFonts w:ascii="Helvetica" w:eastAsia="Times New Roman" w:hAnsi="Helvetica" w:cs="Helvetica"/>
          <w:b/>
          <w:bCs/>
          <w:color w:val="222222"/>
          <w:sz w:val="27"/>
          <w:szCs w:val="27"/>
        </w:rPr>
        <w:t>AND</w:t>
      </w:r>
      <w:r w:rsidRPr="008D1D41">
        <w:rPr>
          <w:rFonts w:ascii="Helvetica" w:eastAsia="Times New Roman" w:hAnsi="Helvetica" w:cs="Helvetica"/>
          <w:color w:val="222222"/>
          <w:sz w:val="27"/>
          <w:szCs w:val="27"/>
        </w:rPr>
        <w:t> the eviction is based on nonpayment.</w:t>
      </w:r>
    </w:p>
    <w:p w14:paraId="4191C126" w14:textId="77777777" w:rsidR="008D1D41" w:rsidRPr="008D1D41" w:rsidRDefault="008D1D41" w:rsidP="008D1D41">
      <w:pPr>
        <w:shd w:val="clear" w:color="auto" w:fill="FFFFFF"/>
        <w:spacing w:after="168" w:line="240" w:lineRule="auto"/>
        <w:ind w:left="720"/>
        <w:rPr>
          <w:rFonts w:ascii="Helvetica" w:eastAsia="Times New Roman" w:hAnsi="Helvetica" w:cs="Helvetica"/>
          <w:color w:val="222222"/>
          <w:sz w:val="27"/>
          <w:szCs w:val="27"/>
        </w:rPr>
      </w:pPr>
      <w:r w:rsidRPr="008D1D41">
        <w:rPr>
          <w:rFonts w:ascii="Helvetica" w:eastAsia="Times New Roman" w:hAnsi="Helvetica" w:cs="Helvetica"/>
          <w:b/>
          <w:bCs/>
          <w:color w:val="222222"/>
          <w:sz w:val="27"/>
          <w:szCs w:val="27"/>
          <w:u w:val="single"/>
        </w:rPr>
        <w:t>What Evictions are Not Affected by the Act?</w:t>
      </w:r>
      <w:r w:rsidRPr="008D1D41">
        <w:rPr>
          <w:rFonts w:ascii="Helvetica" w:eastAsia="Times New Roman" w:hAnsi="Helvetica" w:cs="Helvetica"/>
          <w:color w:val="222222"/>
          <w:sz w:val="27"/>
          <w:szCs w:val="27"/>
        </w:rPr>
        <w:br/>
        <w:t>The CARES Act </w:t>
      </w:r>
      <w:r w:rsidRPr="008D1D41">
        <w:rPr>
          <w:rFonts w:ascii="Helvetica" w:eastAsia="Times New Roman" w:hAnsi="Helvetica" w:cs="Helvetica"/>
          <w:b/>
          <w:bCs/>
          <w:color w:val="222222"/>
          <w:sz w:val="27"/>
          <w:szCs w:val="27"/>
        </w:rPr>
        <w:t>does not</w:t>
      </w:r>
      <w:r w:rsidRPr="008D1D41">
        <w:rPr>
          <w:rFonts w:ascii="Helvetica" w:eastAsia="Times New Roman" w:hAnsi="Helvetica" w:cs="Helvetica"/>
          <w:color w:val="222222"/>
          <w:sz w:val="27"/>
          <w:szCs w:val="27"/>
        </w:rPr>
        <w:t> affect the following:</w:t>
      </w:r>
    </w:p>
    <w:p w14:paraId="0FABB23D" w14:textId="77777777" w:rsidR="008D1D41" w:rsidRPr="008D1D41" w:rsidRDefault="008D1D41" w:rsidP="008D1D41">
      <w:pPr>
        <w:numPr>
          <w:ilvl w:val="1"/>
          <w:numId w:val="1"/>
        </w:numPr>
        <w:shd w:val="clear" w:color="auto" w:fill="FFFFFF"/>
        <w:spacing w:after="0" w:line="240" w:lineRule="auto"/>
        <w:rPr>
          <w:rFonts w:ascii="Helvetica" w:eastAsia="Times New Roman" w:hAnsi="Helvetica" w:cs="Helvetica"/>
          <w:color w:val="222222"/>
          <w:sz w:val="27"/>
          <w:szCs w:val="27"/>
        </w:rPr>
      </w:pPr>
      <w:r w:rsidRPr="008D1D41">
        <w:rPr>
          <w:rFonts w:ascii="Helvetica" w:eastAsia="Times New Roman" w:hAnsi="Helvetica" w:cs="Helvetica"/>
          <w:color w:val="222222"/>
          <w:sz w:val="27"/>
          <w:szCs w:val="27"/>
        </w:rPr>
        <w:t xml:space="preserve">Commercial </w:t>
      </w:r>
      <w:proofErr w:type="gramStart"/>
      <w:r w:rsidRPr="008D1D41">
        <w:rPr>
          <w:rFonts w:ascii="Helvetica" w:eastAsia="Times New Roman" w:hAnsi="Helvetica" w:cs="Helvetica"/>
          <w:color w:val="222222"/>
          <w:sz w:val="27"/>
          <w:szCs w:val="27"/>
        </w:rPr>
        <w:t>evictions;</w:t>
      </w:r>
      <w:proofErr w:type="gramEnd"/>
    </w:p>
    <w:p w14:paraId="48E1830F" w14:textId="77777777" w:rsidR="008D1D41" w:rsidRPr="008D1D41" w:rsidRDefault="008D1D41" w:rsidP="008D1D41">
      <w:pPr>
        <w:numPr>
          <w:ilvl w:val="1"/>
          <w:numId w:val="1"/>
        </w:numPr>
        <w:shd w:val="clear" w:color="auto" w:fill="FFFFFF"/>
        <w:spacing w:after="0" w:line="240" w:lineRule="auto"/>
        <w:rPr>
          <w:rFonts w:ascii="Helvetica" w:eastAsia="Times New Roman" w:hAnsi="Helvetica" w:cs="Helvetica"/>
          <w:color w:val="222222"/>
          <w:sz w:val="27"/>
          <w:szCs w:val="27"/>
        </w:rPr>
      </w:pPr>
      <w:r w:rsidRPr="008D1D41">
        <w:rPr>
          <w:rFonts w:ascii="Helvetica" w:eastAsia="Times New Roman" w:hAnsi="Helvetica" w:cs="Helvetica"/>
          <w:color w:val="222222"/>
          <w:sz w:val="27"/>
          <w:szCs w:val="27"/>
        </w:rPr>
        <w:t xml:space="preserve">Eviction cases that were filed before March 27, </w:t>
      </w:r>
      <w:proofErr w:type="gramStart"/>
      <w:r w:rsidRPr="008D1D41">
        <w:rPr>
          <w:rFonts w:ascii="Helvetica" w:eastAsia="Times New Roman" w:hAnsi="Helvetica" w:cs="Helvetica"/>
          <w:color w:val="222222"/>
          <w:sz w:val="27"/>
          <w:szCs w:val="27"/>
        </w:rPr>
        <w:t>2020;</w:t>
      </w:r>
      <w:proofErr w:type="gramEnd"/>
    </w:p>
    <w:p w14:paraId="0E6DB96F" w14:textId="77777777" w:rsidR="008D1D41" w:rsidRPr="008D1D41" w:rsidRDefault="008D1D41" w:rsidP="008D1D41">
      <w:pPr>
        <w:numPr>
          <w:ilvl w:val="1"/>
          <w:numId w:val="1"/>
        </w:numPr>
        <w:shd w:val="clear" w:color="auto" w:fill="FFFFFF"/>
        <w:spacing w:after="0" w:line="240" w:lineRule="auto"/>
        <w:rPr>
          <w:rFonts w:ascii="Helvetica" w:eastAsia="Times New Roman" w:hAnsi="Helvetica" w:cs="Helvetica"/>
          <w:color w:val="222222"/>
          <w:sz w:val="27"/>
          <w:szCs w:val="27"/>
        </w:rPr>
      </w:pPr>
      <w:r w:rsidRPr="008D1D41">
        <w:rPr>
          <w:rFonts w:ascii="Helvetica" w:eastAsia="Times New Roman" w:hAnsi="Helvetica" w:cs="Helvetica"/>
          <w:color w:val="222222"/>
          <w:sz w:val="27"/>
          <w:szCs w:val="27"/>
        </w:rPr>
        <w:t>Eviction cases with purely private landlords with none of the funding described above; or</w:t>
      </w:r>
    </w:p>
    <w:p w14:paraId="226F88C7" w14:textId="77777777" w:rsidR="008D1D41" w:rsidRPr="008D1D41" w:rsidRDefault="008D1D41" w:rsidP="008D1D41">
      <w:pPr>
        <w:numPr>
          <w:ilvl w:val="1"/>
          <w:numId w:val="1"/>
        </w:numPr>
        <w:shd w:val="clear" w:color="auto" w:fill="FFFFFF"/>
        <w:spacing w:after="0" w:line="240" w:lineRule="auto"/>
        <w:rPr>
          <w:rFonts w:ascii="Helvetica" w:eastAsia="Times New Roman" w:hAnsi="Helvetica" w:cs="Helvetica"/>
          <w:color w:val="222222"/>
          <w:sz w:val="27"/>
          <w:szCs w:val="27"/>
        </w:rPr>
      </w:pPr>
      <w:r w:rsidRPr="008D1D41">
        <w:rPr>
          <w:rFonts w:ascii="Helvetica" w:eastAsia="Times New Roman" w:hAnsi="Helvetica" w:cs="Helvetica"/>
          <w:color w:val="222222"/>
          <w:sz w:val="27"/>
          <w:szCs w:val="27"/>
        </w:rPr>
        <w:t>Eviction cases in which the grounds for eviction are not related to nonpayment.</w:t>
      </w:r>
    </w:p>
    <w:p w14:paraId="2BDF0FA3" w14:textId="77777777" w:rsidR="008D1D41" w:rsidRPr="008D1D41" w:rsidRDefault="008D1D41" w:rsidP="008D1D41">
      <w:pPr>
        <w:shd w:val="clear" w:color="auto" w:fill="FFFFFF"/>
        <w:spacing w:after="0" w:line="240" w:lineRule="auto"/>
        <w:ind w:left="720"/>
        <w:rPr>
          <w:rFonts w:ascii="Helvetica" w:eastAsia="Times New Roman" w:hAnsi="Helvetica" w:cs="Helvetica"/>
          <w:color w:val="222222"/>
          <w:sz w:val="27"/>
          <w:szCs w:val="27"/>
        </w:rPr>
      </w:pPr>
      <w:r w:rsidRPr="008D1D41">
        <w:rPr>
          <w:rFonts w:ascii="Helvetica" w:eastAsia="Times New Roman" w:hAnsi="Helvetica" w:cs="Helvetica"/>
          <w:b/>
          <w:bCs/>
          <w:color w:val="222222"/>
          <w:sz w:val="27"/>
          <w:szCs w:val="27"/>
          <w:u w:val="single"/>
        </w:rPr>
        <w:t>How Can it be Determined if a Property is a Covered Dwelling?</w:t>
      </w:r>
      <w:r w:rsidRPr="008D1D41">
        <w:rPr>
          <w:rFonts w:ascii="Helvetica" w:eastAsia="Times New Roman" w:hAnsi="Helvetica" w:cs="Helvetica"/>
          <w:color w:val="222222"/>
          <w:sz w:val="27"/>
          <w:szCs w:val="27"/>
        </w:rPr>
        <w:br/>
        <w:t>Landlords can go to the TDCHA website </w:t>
      </w:r>
      <w:hyperlink r:id="rId5" w:history="1">
        <w:r w:rsidRPr="008D1D41">
          <w:rPr>
            <w:rFonts w:ascii="Helvetica" w:eastAsia="Times New Roman" w:hAnsi="Helvetica" w:cs="Helvetica"/>
            <w:color w:val="005481"/>
            <w:sz w:val="27"/>
            <w:szCs w:val="27"/>
            <w:u w:val="single"/>
          </w:rPr>
          <w:t>here</w:t>
        </w:r>
      </w:hyperlink>
      <w:r w:rsidRPr="008D1D41">
        <w:rPr>
          <w:rFonts w:ascii="Helvetica" w:eastAsia="Times New Roman" w:hAnsi="Helvetica" w:cs="Helvetica"/>
          <w:color w:val="222222"/>
          <w:sz w:val="27"/>
          <w:szCs w:val="27"/>
        </w:rPr>
        <w:t> and click on "HTC Property Inventory (XLSX)" under Additional Guidance and Resources to search a database to determine if their property is subject to the LIHTC restrictions, and can go to </w:t>
      </w:r>
      <w:hyperlink r:id="rId6" w:history="1">
        <w:r w:rsidRPr="008D1D41">
          <w:rPr>
            <w:rFonts w:ascii="Helvetica" w:eastAsia="Times New Roman" w:hAnsi="Helvetica" w:cs="Helvetica"/>
            <w:color w:val="005481"/>
            <w:sz w:val="27"/>
            <w:szCs w:val="27"/>
            <w:u w:val="single"/>
          </w:rPr>
          <w:t>this website</w:t>
        </w:r>
      </w:hyperlink>
      <w:r w:rsidRPr="008D1D41">
        <w:rPr>
          <w:rFonts w:ascii="Helvetica" w:eastAsia="Times New Roman" w:hAnsi="Helvetica" w:cs="Helvetica"/>
          <w:color w:val="222222"/>
          <w:sz w:val="27"/>
          <w:szCs w:val="27"/>
        </w:rPr>
        <w:t> to check their property against a multi-family housing database.</w:t>
      </w:r>
    </w:p>
    <w:p w14:paraId="2767B5C9" w14:textId="77777777" w:rsidR="008D1D41" w:rsidRPr="008D1D41" w:rsidRDefault="008D1D41" w:rsidP="008D1D41">
      <w:pPr>
        <w:shd w:val="clear" w:color="auto" w:fill="FFFFFF"/>
        <w:spacing w:after="0" w:line="240" w:lineRule="auto"/>
        <w:ind w:left="720"/>
        <w:rPr>
          <w:rFonts w:ascii="Helvetica" w:eastAsia="Times New Roman" w:hAnsi="Helvetica" w:cs="Helvetica"/>
          <w:color w:val="222222"/>
          <w:sz w:val="27"/>
          <w:szCs w:val="27"/>
        </w:rPr>
      </w:pPr>
      <w:r w:rsidRPr="008D1D41">
        <w:rPr>
          <w:rFonts w:ascii="Helvetica" w:eastAsia="Times New Roman" w:hAnsi="Helvetica" w:cs="Helvetica"/>
          <w:color w:val="222222"/>
          <w:sz w:val="27"/>
          <w:szCs w:val="27"/>
        </w:rPr>
        <w:t xml:space="preserve">Also, Texas </w:t>
      </w:r>
      <w:proofErr w:type="spellStart"/>
      <w:r w:rsidRPr="008D1D41">
        <w:rPr>
          <w:rFonts w:ascii="Helvetica" w:eastAsia="Times New Roman" w:hAnsi="Helvetica" w:cs="Helvetica"/>
          <w:color w:val="222222"/>
          <w:sz w:val="27"/>
          <w:szCs w:val="27"/>
        </w:rPr>
        <w:t>RioGrande</w:t>
      </w:r>
      <w:proofErr w:type="spellEnd"/>
      <w:r w:rsidRPr="008D1D41">
        <w:rPr>
          <w:rFonts w:ascii="Helvetica" w:eastAsia="Times New Roman" w:hAnsi="Helvetica" w:cs="Helvetica"/>
          <w:color w:val="222222"/>
          <w:sz w:val="27"/>
          <w:szCs w:val="27"/>
        </w:rPr>
        <w:t xml:space="preserve"> Legal Aid has composed a map that, while not exhaustive, has tremendous information on covered properties and may be accessed </w:t>
      </w:r>
      <w:hyperlink r:id="rId7" w:history="1">
        <w:r w:rsidRPr="008D1D41">
          <w:rPr>
            <w:rFonts w:ascii="Helvetica" w:eastAsia="Times New Roman" w:hAnsi="Helvetica" w:cs="Helvetica"/>
            <w:color w:val="005481"/>
            <w:sz w:val="27"/>
            <w:szCs w:val="27"/>
            <w:u w:val="single"/>
          </w:rPr>
          <w:t>here</w:t>
        </w:r>
      </w:hyperlink>
      <w:r w:rsidRPr="008D1D41">
        <w:rPr>
          <w:rFonts w:ascii="Helvetica" w:eastAsia="Times New Roman" w:hAnsi="Helvetica" w:cs="Helvetica"/>
          <w:color w:val="222222"/>
          <w:sz w:val="27"/>
          <w:szCs w:val="27"/>
        </w:rPr>
        <w:t>. More resources for tenants and landlords related to the CARES Act are found on our SRL page, </w:t>
      </w:r>
      <w:hyperlink r:id="rId8" w:history="1">
        <w:r w:rsidRPr="008D1D41">
          <w:rPr>
            <w:rFonts w:ascii="Helvetica" w:eastAsia="Times New Roman" w:hAnsi="Helvetica" w:cs="Helvetica"/>
            <w:color w:val="005481"/>
            <w:sz w:val="27"/>
            <w:szCs w:val="27"/>
            <w:u w:val="single"/>
          </w:rPr>
          <w:t>www.tjctc.org/SRL</w:t>
        </w:r>
      </w:hyperlink>
      <w:r w:rsidRPr="008D1D41">
        <w:rPr>
          <w:rFonts w:ascii="Helvetica" w:eastAsia="Times New Roman" w:hAnsi="Helvetica" w:cs="Helvetica"/>
          <w:color w:val="222222"/>
          <w:sz w:val="27"/>
          <w:szCs w:val="27"/>
        </w:rPr>
        <w:t>. </w:t>
      </w:r>
    </w:p>
    <w:p w14:paraId="50B5A421" w14:textId="77777777" w:rsidR="004E7133" w:rsidRDefault="004E7133"/>
    <w:sectPr w:rsidR="004E7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A24E0"/>
    <w:multiLevelType w:val="multilevel"/>
    <w:tmpl w:val="9BAA3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41"/>
    <w:rsid w:val="004E7133"/>
    <w:rsid w:val="008D1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C128"/>
  <w15:chartTrackingRefBased/>
  <w15:docId w15:val="{43CAD255-9B09-412C-9AC4-6C7FF506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67344">
      <w:bodyDiv w:val="1"/>
      <w:marLeft w:val="0"/>
      <w:marRight w:val="0"/>
      <w:marTop w:val="0"/>
      <w:marBottom w:val="0"/>
      <w:divBdr>
        <w:top w:val="none" w:sz="0" w:space="0" w:color="auto"/>
        <w:left w:val="none" w:sz="0" w:space="0" w:color="auto"/>
        <w:bottom w:val="none" w:sz="0" w:space="0" w:color="auto"/>
        <w:right w:val="none" w:sz="0" w:space="0" w:color="auto"/>
      </w:divBdr>
      <w:divsChild>
        <w:div w:id="180342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jctc.org/SRL" TargetMode="External"/><Relationship Id="rId3" Type="http://schemas.openxmlformats.org/officeDocument/2006/relationships/settings" Target="settings.xml"/><Relationship Id="rId7" Type="http://schemas.openxmlformats.org/officeDocument/2006/relationships/hyperlink" Target="https://trla.maps.arcgis.com/apps/Nearby/index.html?appid=1932f764d9254e9ebc28258d74cc8c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lihc.org/federal-moratoriums?ct=t%28update_041720%29" TargetMode="External"/><Relationship Id="rId5" Type="http://schemas.openxmlformats.org/officeDocument/2006/relationships/hyperlink" Target="https://www.tdhca.state.tx.us/multifamily/housing-tax-credits-9pct/index.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Riley</dc:creator>
  <cp:keywords/>
  <dc:description/>
  <cp:lastModifiedBy>Bob Riley</cp:lastModifiedBy>
  <cp:revision>1</cp:revision>
  <dcterms:created xsi:type="dcterms:W3CDTF">2021-10-26T15:32:00Z</dcterms:created>
  <dcterms:modified xsi:type="dcterms:W3CDTF">2021-10-26T15:34:00Z</dcterms:modified>
</cp:coreProperties>
</file>